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FB" w:rsidRDefault="003B6F53">
      <w:pPr>
        <w:rPr>
          <w:b/>
          <w:sz w:val="44"/>
          <w:szCs w:val="44"/>
        </w:rPr>
      </w:pPr>
      <w:r w:rsidRPr="00554B3D">
        <w:rPr>
          <w:b/>
          <w:sz w:val="44"/>
          <w:szCs w:val="44"/>
        </w:rPr>
        <w:t>Informatie over de cursus KOP model</w:t>
      </w:r>
    </w:p>
    <w:p w:rsidR="00554B3D" w:rsidRDefault="00554B3D">
      <w:pPr>
        <w:rPr>
          <w:b/>
          <w:sz w:val="44"/>
          <w:szCs w:val="44"/>
        </w:rPr>
      </w:pPr>
      <w:r>
        <w:rPr>
          <w:b/>
          <w:sz w:val="44"/>
          <w:szCs w:val="44"/>
        </w:rPr>
        <w:t>Paul Rijnders, nov 2017</w:t>
      </w:r>
    </w:p>
    <w:p w:rsidR="00554B3D" w:rsidRPr="00CB347D" w:rsidRDefault="00554B3D" w:rsidP="00554B3D">
      <w:pPr>
        <w:rPr>
          <w:b/>
          <w:bCs/>
        </w:rPr>
      </w:pPr>
      <w:r w:rsidRPr="00CB347D">
        <w:rPr>
          <w:b/>
          <w:bCs/>
        </w:rPr>
        <w:t>Algemeen.</w:t>
      </w:r>
    </w:p>
    <w:p w:rsidR="00554B3D" w:rsidRPr="00CB347D" w:rsidRDefault="00554B3D" w:rsidP="00554B3D">
      <w:pPr>
        <w:rPr>
          <w:bCs/>
        </w:rPr>
      </w:pPr>
      <w:r w:rsidRPr="00CB347D">
        <w:rPr>
          <w:bCs/>
        </w:rPr>
        <w:t>Het KOP-model is een wetenschappelijk onderbouwde en inmiddels veel in de praktijk ingezet model voor de behandeling van cliënten met milde tot matige psychische klachten. Door de invoering van de POH-GGZ en generalistische basis ggz begin 2014 groeit de behoefte aan kortdurende en bewezen effectieve behandeling voor deze grote groep cliënten. Het KOP-model gaat ervan uit dat klachten het resultaat zijn van de wisselwerking tussen de omstandigheden/omgevingsfactoren van de cliënt en de manier waarop de cliënt op die omstandigheden reageert. De balans tussen belastende omgevingsfactoren (O) en persoonlijk functioneren (P) kan zo ver uit het lood slaan dat er klachten (K) ontstaan: K = O x P.</w:t>
      </w:r>
    </w:p>
    <w:p w:rsidR="00554B3D" w:rsidRPr="00CB347D" w:rsidRDefault="00554B3D" w:rsidP="00554B3D">
      <w:pPr>
        <w:rPr>
          <w:bCs/>
        </w:rPr>
      </w:pPr>
      <w:r w:rsidRPr="00CB347D">
        <w:rPr>
          <w:bCs/>
        </w:rPr>
        <w:t xml:space="preserve"> In vijf stappen begeleidt de POH-GGZ of behandelaar generalistische basis ggz de cliënt bij de aanpak van zijn klachten, met positieve resultaten op korte termijn. </w:t>
      </w:r>
    </w:p>
    <w:p w:rsidR="00554B3D" w:rsidRPr="00CB347D" w:rsidRDefault="00554B3D" w:rsidP="00554B3D">
      <w:pPr>
        <w:rPr>
          <w:bCs/>
        </w:rPr>
      </w:pPr>
    </w:p>
    <w:p w:rsidR="00554B3D" w:rsidRPr="00CB347D" w:rsidRDefault="00554B3D" w:rsidP="00554B3D">
      <w:pPr>
        <w:rPr>
          <w:bCs/>
        </w:rPr>
      </w:pPr>
      <w:r w:rsidRPr="00CB347D">
        <w:rPr>
          <w:bCs/>
        </w:rPr>
        <w:t>Doelgroep</w:t>
      </w:r>
    </w:p>
    <w:p w:rsidR="00554B3D" w:rsidRPr="00CB347D" w:rsidRDefault="00554B3D" w:rsidP="00554B3D">
      <w:pPr>
        <w:rPr>
          <w:bCs/>
        </w:rPr>
      </w:pPr>
      <w:r w:rsidRPr="00CB347D">
        <w:rPr>
          <w:bCs/>
        </w:rPr>
        <w:t>Behandelaren in de generalistische basis ggz en POH-GGZ: (</w:t>
      </w:r>
      <w:proofErr w:type="spellStart"/>
      <w:r w:rsidRPr="00CB347D">
        <w:rPr>
          <w:bCs/>
        </w:rPr>
        <w:t>Gz</w:t>
      </w:r>
      <w:proofErr w:type="spellEnd"/>
      <w:r w:rsidRPr="00CB347D">
        <w:rPr>
          <w:bCs/>
        </w:rPr>
        <w:t>-)psychologen, maatschappelijk werkers, verpleegkundigen en POH-GGZ</w:t>
      </w:r>
    </w:p>
    <w:p w:rsidR="00554B3D" w:rsidRPr="00CB347D" w:rsidRDefault="00554B3D" w:rsidP="00554B3D">
      <w:pPr>
        <w:rPr>
          <w:b/>
          <w:bCs/>
        </w:rPr>
      </w:pPr>
    </w:p>
    <w:p w:rsidR="00554B3D" w:rsidRPr="00CB347D" w:rsidRDefault="00554B3D" w:rsidP="00554B3D">
      <w:pPr>
        <w:rPr>
          <w:b/>
          <w:bCs/>
        </w:rPr>
      </w:pPr>
      <w:r w:rsidRPr="00CB347D">
        <w:rPr>
          <w:b/>
          <w:bCs/>
        </w:rPr>
        <w:t>Doel</w:t>
      </w:r>
    </w:p>
    <w:p w:rsidR="00554B3D" w:rsidRPr="00CB347D" w:rsidRDefault="00554B3D" w:rsidP="00554B3D">
      <w:pPr>
        <w:rPr>
          <w:bCs/>
        </w:rPr>
      </w:pPr>
      <w:r w:rsidRPr="00CB347D">
        <w:rPr>
          <w:bCs/>
        </w:rPr>
        <w:t>leren het KOP-model in de praktijk toe te passen.</w:t>
      </w:r>
    </w:p>
    <w:p w:rsidR="00554B3D" w:rsidRPr="00CB347D" w:rsidRDefault="00554B3D" w:rsidP="00554B3D">
      <w:pPr>
        <w:rPr>
          <w:b/>
          <w:bCs/>
        </w:rPr>
      </w:pPr>
    </w:p>
    <w:p w:rsidR="00554B3D" w:rsidRPr="00CB347D" w:rsidRDefault="00554B3D" w:rsidP="00554B3D">
      <w:pPr>
        <w:rPr>
          <w:b/>
          <w:bCs/>
        </w:rPr>
      </w:pPr>
      <w:r w:rsidRPr="00CB347D">
        <w:rPr>
          <w:b/>
          <w:bCs/>
        </w:rPr>
        <w:t>Inhoud</w:t>
      </w:r>
    </w:p>
    <w:p w:rsidR="00554B3D" w:rsidRPr="00CB347D" w:rsidRDefault="00554B3D" w:rsidP="00554B3D">
      <w:pPr>
        <w:numPr>
          <w:ilvl w:val="0"/>
          <w:numId w:val="1"/>
        </w:numPr>
        <w:spacing w:after="0" w:line="240" w:lineRule="auto"/>
        <w:rPr>
          <w:bCs/>
        </w:rPr>
      </w:pPr>
      <w:r w:rsidRPr="00CB347D">
        <w:rPr>
          <w:bCs/>
        </w:rPr>
        <w:t>Achtergrond en uitgangspunten van het KOP-model</w:t>
      </w:r>
    </w:p>
    <w:p w:rsidR="00554B3D" w:rsidRPr="00CB347D" w:rsidRDefault="00554B3D" w:rsidP="00554B3D">
      <w:pPr>
        <w:numPr>
          <w:ilvl w:val="0"/>
          <w:numId w:val="1"/>
        </w:numPr>
        <w:spacing w:after="0" w:line="240" w:lineRule="auto"/>
        <w:rPr>
          <w:bCs/>
        </w:rPr>
      </w:pPr>
      <w:r w:rsidRPr="00CB347D">
        <w:rPr>
          <w:bCs/>
        </w:rPr>
        <w:t>Triage: indicatiecriteria en instrumentarium ter indicatie voor POH-GGZ, varianten generalistische basis ggz (kort, middel, intensief)</w:t>
      </w:r>
    </w:p>
    <w:p w:rsidR="00554B3D" w:rsidRPr="00CB347D" w:rsidRDefault="00554B3D" w:rsidP="00554B3D">
      <w:pPr>
        <w:numPr>
          <w:ilvl w:val="0"/>
          <w:numId w:val="1"/>
        </w:numPr>
        <w:spacing w:after="0" w:line="240" w:lineRule="auto"/>
        <w:rPr>
          <w:bCs/>
        </w:rPr>
      </w:pPr>
      <w:r w:rsidRPr="00CB347D">
        <w:rPr>
          <w:bCs/>
        </w:rPr>
        <w:t>Klachtanalyse en gezamenlijk met cliënt opstellen behandeldoelen</w:t>
      </w:r>
    </w:p>
    <w:p w:rsidR="00554B3D" w:rsidRPr="00CB347D" w:rsidRDefault="00554B3D" w:rsidP="00554B3D">
      <w:pPr>
        <w:numPr>
          <w:ilvl w:val="0"/>
          <w:numId w:val="1"/>
        </w:numPr>
        <w:spacing w:after="0" w:line="240" w:lineRule="auto"/>
        <w:rPr>
          <w:bCs/>
        </w:rPr>
      </w:pPr>
      <w:r w:rsidRPr="00CB347D">
        <w:rPr>
          <w:bCs/>
        </w:rPr>
        <w:t>Vijf-stappenplan en behandeltechnieken (</w:t>
      </w:r>
      <w:proofErr w:type="spellStart"/>
      <w:r w:rsidRPr="00CB347D">
        <w:rPr>
          <w:bCs/>
        </w:rPr>
        <w:t>social</w:t>
      </w:r>
      <w:proofErr w:type="spellEnd"/>
      <w:r w:rsidRPr="00CB347D">
        <w:rPr>
          <w:bCs/>
        </w:rPr>
        <w:t xml:space="preserve"> </w:t>
      </w:r>
      <w:proofErr w:type="spellStart"/>
      <w:r w:rsidRPr="00CB347D">
        <w:rPr>
          <w:bCs/>
        </w:rPr>
        <w:t>learning</w:t>
      </w:r>
      <w:proofErr w:type="spellEnd"/>
      <w:r w:rsidRPr="00CB347D">
        <w:rPr>
          <w:bCs/>
        </w:rPr>
        <w:t xml:space="preserve">, </w:t>
      </w:r>
      <w:proofErr w:type="spellStart"/>
      <w:r w:rsidRPr="00CB347D">
        <w:rPr>
          <w:bCs/>
        </w:rPr>
        <w:t>psycho</w:t>
      </w:r>
      <w:proofErr w:type="spellEnd"/>
      <w:r w:rsidRPr="00CB347D">
        <w:rPr>
          <w:bCs/>
        </w:rPr>
        <w:t>-educatie, motiverende technieken, inzet metaforen en gedragsexperimenten)</w:t>
      </w:r>
    </w:p>
    <w:p w:rsidR="00554B3D" w:rsidRPr="00CB347D" w:rsidRDefault="00554B3D" w:rsidP="00554B3D">
      <w:pPr>
        <w:numPr>
          <w:ilvl w:val="0"/>
          <w:numId w:val="1"/>
        </w:numPr>
        <w:spacing w:after="0" w:line="240" w:lineRule="auto"/>
        <w:rPr>
          <w:bCs/>
        </w:rPr>
      </w:pPr>
      <w:r w:rsidRPr="00CB347D">
        <w:rPr>
          <w:bCs/>
        </w:rPr>
        <w:t>Terugvalpreventie en eindevaluatie behandeling</w:t>
      </w:r>
    </w:p>
    <w:p w:rsidR="00554B3D" w:rsidRPr="00CB347D" w:rsidRDefault="00554B3D" w:rsidP="00554B3D">
      <w:pPr>
        <w:rPr>
          <w:bCs/>
        </w:rPr>
      </w:pPr>
      <w:r w:rsidRPr="00CB347D">
        <w:rPr>
          <w:rFonts w:cs="Times New Roman"/>
          <w:bCs/>
        </w:rPr>
        <w:t>​</w:t>
      </w:r>
    </w:p>
    <w:p w:rsidR="00554B3D" w:rsidRPr="00CB347D" w:rsidRDefault="00554B3D" w:rsidP="00554B3D">
      <w:pPr>
        <w:rPr>
          <w:bCs/>
        </w:rPr>
      </w:pPr>
      <w:r w:rsidRPr="00CB347D">
        <w:rPr>
          <w:bCs/>
        </w:rPr>
        <w:t>De cursus is sterk praktijkgericht. Zowel eigen als door de docent aangedragen casuïstiek wordt gebruikt in oefeningen.</w:t>
      </w:r>
    </w:p>
    <w:p w:rsidR="00CB347D" w:rsidRDefault="00CB347D" w:rsidP="00554B3D">
      <w:pPr>
        <w:rPr>
          <w:b/>
          <w:bCs/>
        </w:rPr>
      </w:pPr>
    </w:p>
    <w:p w:rsidR="00554B3D" w:rsidRPr="00CB347D" w:rsidRDefault="00554B3D" w:rsidP="00554B3D">
      <w:pPr>
        <w:rPr>
          <w:b/>
          <w:bCs/>
        </w:rPr>
      </w:pPr>
      <w:r w:rsidRPr="00CB347D">
        <w:rPr>
          <w:b/>
          <w:bCs/>
        </w:rPr>
        <w:lastRenderedPageBreak/>
        <w:t>Docent</w:t>
      </w:r>
    </w:p>
    <w:p w:rsidR="00CB347D" w:rsidRPr="00CB347D" w:rsidRDefault="00CB347D">
      <w:pPr>
        <w:rPr>
          <w:rFonts w:cs="Arial"/>
          <w:color w:val="333333"/>
        </w:rPr>
      </w:pPr>
      <w:r w:rsidRPr="00CB347D">
        <w:rPr>
          <w:rFonts w:cs="Arial"/>
          <w:color w:val="333333"/>
        </w:rPr>
        <w:t>Paul Rijnders is klinisch psycholoog. Hij praktiseert, onderzoekt en doceert over kortdurende vormen van (</w:t>
      </w:r>
      <w:proofErr w:type="spellStart"/>
      <w:r w:rsidRPr="00CB347D">
        <w:rPr>
          <w:rFonts w:cs="Arial"/>
          <w:color w:val="333333"/>
        </w:rPr>
        <w:t>gedrags</w:t>
      </w:r>
      <w:proofErr w:type="spellEnd"/>
      <w:r w:rsidRPr="00CB347D">
        <w:rPr>
          <w:rFonts w:cs="Arial"/>
          <w:color w:val="333333"/>
        </w:rPr>
        <w:t>)therapie. Hij is werkzaam bij Mentaal Beter Zeeuws Vlaanderen en bij het Zeeuw hand en polscentrum in Goes.</w:t>
      </w:r>
      <w:r w:rsidRPr="00CB347D">
        <w:rPr>
          <w:rFonts w:cs="Arial"/>
          <w:color w:val="333333"/>
        </w:rPr>
        <w:br/>
      </w:r>
      <w:r w:rsidRPr="00CB347D">
        <w:rPr>
          <w:rFonts w:cs="Arial"/>
          <w:color w:val="333333"/>
        </w:rPr>
        <w:br/>
        <w:t xml:space="preserve">Hij heeft de opleidingen Psychoanalytische Psychotherapie, Gedragstherapie en Systeem theoretische Psychotherapie doorlopen. </w:t>
      </w:r>
      <w:r w:rsidRPr="00CB347D">
        <w:rPr>
          <w:rFonts w:cs="Arial"/>
          <w:color w:val="333333"/>
        </w:rPr>
        <w:br/>
      </w:r>
      <w:r w:rsidRPr="00CB347D">
        <w:rPr>
          <w:rFonts w:cs="Arial"/>
          <w:color w:val="333333"/>
        </w:rPr>
        <w:br/>
        <w:t>Bij de Vereniging Gedragstherapie en Cognitieve Therapie (</w:t>
      </w:r>
      <w:proofErr w:type="spellStart"/>
      <w:r w:rsidRPr="00CB347D">
        <w:rPr>
          <w:rFonts w:cs="Arial"/>
          <w:color w:val="333333"/>
        </w:rPr>
        <w:t>VGCt</w:t>
      </w:r>
      <w:proofErr w:type="spellEnd"/>
      <w:r w:rsidRPr="00CB347D">
        <w:rPr>
          <w:rFonts w:cs="Arial"/>
          <w:color w:val="333333"/>
        </w:rPr>
        <w:t xml:space="preserve">) is hij supervisor en lid van het bestuur. Van daaruit is hij ook representant bij de European </w:t>
      </w:r>
      <w:proofErr w:type="spellStart"/>
      <w:r w:rsidRPr="00CB347D">
        <w:rPr>
          <w:rFonts w:cs="Arial"/>
          <w:color w:val="333333"/>
        </w:rPr>
        <w:t>Association</w:t>
      </w:r>
      <w:proofErr w:type="spellEnd"/>
      <w:r w:rsidRPr="00CB347D">
        <w:rPr>
          <w:rFonts w:cs="Arial"/>
          <w:color w:val="333333"/>
        </w:rPr>
        <w:t xml:space="preserve"> </w:t>
      </w:r>
      <w:proofErr w:type="spellStart"/>
      <w:r w:rsidRPr="00CB347D">
        <w:rPr>
          <w:rFonts w:cs="Arial"/>
          <w:color w:val="333333"/>
        </w:rPr>
        <w:t>for</w:t>
      </w:r>
      <w:proofErr w:type="spellEnd"/>
      <w:r w:rsidRPr="00CB347D">
        <w:rPr>
          <w:rFonts w:cs="Arial"/>
          <w:color w:val="333333"/>
        </w:rPr>
        <w:t xml:space="preserve"> </w:t>
      </w:r>
      <w:proofErr w:type="spellStart"/>
      <w:r w:rsidRPr="00CB347D">
        <w:rPr>
          <w:rFonts w:cs="Arial"/>
          <w:color w:val="333333"/>
        </w:rPr>
        <w:t>Behavioural</w:t>
      </w:r>
      <w:proofErr w:type="spellEnd"/>
      <w:r w:rsidRPr="00CB347D">
        <w:rPr>
          <w:rFonts w:cs="Arial"/>
          <w:color w:val="333333"/>
        </w:rPr>
        <w:t xml:space="preserve"> </w:t>
      </w:r>
      <w:proofErr w:type="spellStart"/>
      <w:r w:rsidRPr="00CB347D">
        <w:rPr>
          <w:rFonts w:cs="Arial"/>
          <w:color w:val="333333"/>
        </w:rPr>
        <w:t>and</w:t>
      </w:r>
      <w:proofErr w:type="spellEnd"/>
      <w:r w:rsidRPr="00CB347D">
        <w:rPr>
          <w:rFonts w:cs="Arial"/>
          <w:color w:val="333333"/>
        </w:rPr>
        <w:t xml:space="preserve"> </w:t>
      </w:r>
      <w:proofErr w:type="spellStart"/>
      <w:r w:rsidRPr="00CB347D">
        <w:rPr>
          <w:rFonts w:cs="Arial"/>
          <w:color w:val="333333"/>
        </w:rPr>
        <w:t>Cognitive</w:t>
      </w:r>
      <w:proofErr w:type="spellEnd"/>
      <w:r w:rsidRPr="00CB347D">
        <w:rPr>
          <w:rFonts w:cs="Arial"/>
          <w:color w:val="333333"/>
        </w:rPr>
        <w:t xml:space="preserve"> Therapies (EABCT). Hiernaast is hij lid van het bestuur van het Fonds Psychische gezondheid, evenals lid van de Redactieraad van Directieve Therapie (</w:t>
      </w:r>
      <w:proofErr w:type="spellStart"/>
      <w:r w:rsidRPr="00CB347D">
        <w:rPr>
          <w:rFonts w:cs="Arial"/>
          <w:color w:val="333333"/>
        </w:rPr>
        <w:t>Dth</w:t>
      </w:r>
      <w:proofErr w:type="spellEnd"/>
      <w:r w:rsidRPr="00CB347D">
        <w:rPr>
          <w:rFonts w:cs="Arial"/>
          <w:color w:val="333333"/>
        </w:rPr>
        <w:t>).</w:t>
      </w:r>
    </w:p>
    <w:p w:rsidR="00CB347D" w:rsidRPr="00CB347D" w:rsidRDefault="00CB347D">
      <w:pPr>
        <w:rPr>
          <w:rFonts w:cs="Arial"/>
          <w:color w:val="333333"/>
        </w:rPr>
      </w:pPr>
      <w:r w:rsidRPr="00CB347D">
        <w:rPr>
          <w:rStyle w:val="Zwaar"/>
          <w:rFonts w:asciiTheme="minorHAnsi" w:hAnsiTheme="minorHAnsi" w:cs="Arial"/>
          <w:color w:val="333333"/>
        </w:rPr>
        <w:t>Wat drijft u als hulpverlener?</w:t>
      </w:r>
      <w:r w:rsidRPr="00CB347D">
        <w:rPr>
          <w:rFonts w:cs="Arial"/>
          <w:color w:val="333333"/>
        </w:rPr>
        <w:br/>
        <w:t>Een primaire drijfveer was en is een neiging tot helpen en zorgen. Daarnaast boeit de complexiteit van het menselijk functioneren me: ik zie ieder mens in zijn/haar functioneren als de samenbundeling van genetische, historische, culturele en sociale factoren. Met de patiënt zoeken naar mogelijkheden om in die complexiteit adequaat te kunnen functioneren, vind ik telkens opnieuw een grote uitdaging.</w:t>
      </w:r>
      <w:r w:rsidRPr="00CB347D">
        <w:rPr>
          <w:rFonts w:cs="Arial"/>
          <w:color w:val="333333"/>
        </w:rPr>
        <w:br/>
      </w:r>
      <w:r w:rsidRPr="00CB347D">
        <w:rPr>
          <w:rFonts w:cs="Arial"/>
          <w:color w:val="333333"/>
        </w:rPr>
        <w:br/>
      </w:r>
      <w:r w:rsidRPr="00CB347D">
        <w:rPr>
          <w:rStyle w:val="Zwaar"/>
          <w:rFonts w:asciiTheme="minorHAnsi" w:hAnsiTheme="minorHAnsi" w:cs="Arial"/>
          <w:color w:val="333333"/>
        </w:rPr>
        <w:t>Wat is het belangrijkste wat u wilt meegeven aan cursisten?</w:t>
      </w:r>
      <w:r w:rsidRPr="00CB347D">
        <w:rPr>
          <w:rFonts w:cs="Arial"/>
          <w:color w:val="333333"/>
        </w:rPr>
        <w:br/>
        <w:t>In de cursussen probeer ik jonge collega's te helpen hun analytisch, empathisch en technisch vermogen verder te ontwikkelen. Dit om zo goed mogelijk de menselijke complexiteit te overzien én dit overzicht zo aan hun patiënten over te dragen dat dezen daardoor adequater kunnen functioneren.</w:t>
      </w:r>
    </w:p>
    <w:p w:rsidR="00CB347D" w:rsidRPr="00CB347D" w:rsidRDefault="00CB347D" w:rsidP="00CB347D">
      <w:pPr>
        <w:spacing w:after="240" w:line="240" w:lineRule="auto"/>
        <w:rPr>
          <w:rFonts w:eastAsia="Times New Roman" w:cs="Arial"/>
          <w:color w:val="333333"/>
          <w:lang w:eastAsia="nl-NL"/>
        </w:rPr>
      </w:pPr>
      <w:bookmarkStart w:id="0" w:name="_GoBack"/>
      <w:r w:rsidRPr="00CB347D">
        <w:rPr>
          <w:rFonts w:eastAsia="Times New Roman" w:cs="Arial"/>
          <w:b/>
          <w:bCs/>
          <w:color w:val="333333"/>
          <w:lang w:eastAsia="nl-NL"/>
        </w:rPr>
        <w:t>Publicaties</w:t>
      </w:r>
      <w:r w:rsidRPr="00CB347D">
        <w:rPr>
          <w:rFonts w:eastAsia="Times New Roman" w:cs="Arial"/>
          <w:color w:val="333333"/>
          <w:lang w:eastAsia="nl-NL"/>
        </w:rPr>
        <w:br/>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Rijnders, P., &amp; </w:t>
      </w:r>
      <w:proofErr w:type="spellStart"/>
      <w:r w:rsidRPr="00CB347D">
        <w:rPr>
          <w:rFonts w:eastAsia="Times New Roman" w:cs="Arial"/>
          <w:color w:val="333333"/>
          <w:lang w:eastAsia="nl-NL"/>
        </w:rPr>
        <w:t>Heene</w:t>
      </w:r>
      <w:proofErr w:type="spellEnd"/>
      <w:r w:rsidRPr="00CB347D">
        <w:rPr>
          <w:rFonts w:eastAsia="Times New Roman" w:cs="Arial"/>
          <w:color w:val="333333"/>
          <w:lang w:eastAsia="nl-NL"/>
        </w:rPr>
        <w:t>, E., (2010). Naar een generalistische GGZ. (</w:t>
      </w:r>
      <w:proofErr w:type="spellStart"/>
      <w:r w:rsidRPr="00CB347D">
        <w:rPr>
          <w:rFonts w:eastAsia="Times New Roman" w:cs="Arial"/>
          <w:color w:val="333333"/>
          <w:lang w:eastAsia="nl-NL"/>
        </w:rPr>
        <w:t>submitted</w:t>
      </w:r>
      <w:proofErr w:type="spellEnd"/>
      <w:r w:rsidRPr="00CB347D">
        <w:rPr>
          <w:rFonts w:eastAsia="Times New Roman" w:cs="Arial"/>
          <w:color w:val="333333"/>
          <w:lang w:eastAsia="nl-NL"/>
        </w:rPr>
        <w:t>).</w:t>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Rijnders, P., &amp; </w:t>
      </w:r>
      <w:proofErr w:type="spellStart"/>
      <w:r w:rsidRPr="00CB347D">
        <w:rPr>
          <w:rFonts w:eastAsia="Times New Roman" w:cs="Arial"/>
          <w:color w:val="333333"/>
          <w:lang w:eastAsia="nl-NL"/>
        </w:rPr>
        <w:t>Heene</w:t>
      </w:r>
      <w:proofErr w:type="spellEnd"/>
      <w:r w:rsidRPr="00CB347D">
        <w:rPr>
          <w:rFonts w:eastAsia="Times New Roman" w:cs="Arial"/>
          <w:color w:val="333333"/>
          <w:lang w:eastAsia="nl-NL"/>
        </w:rPr>
        <w:t>, E. (2010). Kortdurende Psychologische Interventies voor de eerste lijn. Amsterdam: Boom testuitgevers.</w:t>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Rijnders, P., Schacht, R., &amp; </w:t>
      </w:r>
      <w:proofErr w:type="spellStart"/>
      <w:r w:rsidRPr="00CB347D">
        <w:rPr>
          <w:rFonts w:eastAsia="Times New Roman" w:cs="Arial"/>
          <w:color w:val="333333"/>
          <w:lang w:eastAsia="nl-NL"/>
        </w:rPr>
        <w:t>Verbeerst</w:t>
      </w:r>
      <w:proofErr w:type="spellEnd"/>
      <w:r w:rsidRPr="00CB347D">
        <w:rPr>
          <w:rFonts w:eastAsia="Times New Roman" w:cs="Arial"/>
          <w:color w:val="333333"/>
          <w:lang w:eastAsia="nl-NL"/>
        </w:rPr>
        <w:t xml:space="preserve"> ,L. (2008). Kortdurende interventies bij depressie. In: J. Huyser, e.a. (Red.), Handboek depressieve Stoornissen. Utrecht.: de Tijdstroom.</w:t>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Schacht, R., De </w:t>
      </w:r>
      <w:proofErr w:type="spellStart"/>
      <w:r w:rsidRPr="00CB347D">
        <w:rPr>
          <w:rFonts w:eastAsia="Times New Roman" w:cs="Arial"/>
          <w:color w:val="333333"/>
          <w:lang w:eastAsia="nl-NL"/>
        </w:rPr>
        <w:t>Raedt</w:t>
      </w:r>
      <w:proofErr w:type="spellEnd"/>
      <w:r w:rsidRPr="00CB347D">
        <w:rPr>
          <w:rFonts w:eastAsia="Times New Roman" w:cs="Arial"/>
          <w:color w:val="333333"/>
          <w:lang w:eastAsia="nl-NL"/>
        </w:rPr>
        <w:t xml:space="preserve">, R. ,&amp; Rijnders, P. (2007). </w:t>
      </w:r>
      <w:proofErr w:type="spellStart"/>
      <w:r w:rsidRPr="00CB347D">
        <w:rPr>
          <w:rFonts w:eastAsia="Times New Roman" w:cs="Arial"/>
          <w:color w:val="333333"/>
          <w:lang w:eastAsia="nl-NL"/>
        </w:rPr>
        <w:t>Evidence-based</w:t>
      </w:r>
      <w:proofErr w:type="spellEnd"/>
      <w:r w:rsidRPr="00CB347D">
        <w:rPr>
          <w:rFonts w:eastAsia="Times New Roman" w:cs="Arial"/>
          <w:color w:val="333333"/>
          <w:lang w:eastAsia="nl-NL"/>
        </w:rPr>
        <w:t xml:space="preserve"> </w:t>
      </w:r>
      <w:proofErr w:type="spellStart"/>
      <w:r w:rsidRPr="00CB347D">
        <w:rPr>
          <w:rFonts w:eastAsia="Times New Roman" w:cs="Arial"/>
          <w:color w:val="333333"/>
          <w:lang w:eastAsia="nl-NL"/>
        </w:rPr>
        <w:t>stepped</w:t>
      </w:r>
      <w:proofErr w:type="spellEnd"/>
      <w:r w:rsidRPr="00CB347D">
        <w:rPr>
          <w:rFonts w:eastAsia="Times New Roman" w:cs="Arial"/>
          <w:color w:val="333333"/>
          <w:lang w:eastAsia="nl-NL"/>
        </w:rPr>
        <w:t xml:space="preserve"> care in de gedragstherapeutische praktijk. Gedragstherapie, 40, 85-110.</w:t>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Rijnders, P. (2004). Overzicht, Inzicht en Uitzicht: een protocol voor kortdurende psychotherapie. </w:t>
      </w:r>
      <w:proofErr w:type="spellStart"/>
      <w:r w:rsidRPr="00CB347D">
        <w:rPr>
          <w:rFonts w:eastAsia="Times New Roman" w:cs="Arial"/>
          <w:color w:val="333333"/>
          <w:lang w:eastAsia="nl-NL"/>
        </w:rPr>
        <w:t>Bohn</w:t>
      </w:r>
      <w:proofErr w:type="spellEnd"/>
      <w:r w:rsidRPr="00CB347D">
        <w:rPr>
          <w:rFonts w:eastAsia="Times New Roman" w:cs="Arial"/>
          <w:color w:val="333333"/>
          <w:lang w:eastAsia="nl-NL"/>
        </w:rPr>
        <w:t xml:space="preserve"> </w:t>
      </w:r>
      <w:proofErr w:type="spellStart"/>
      <w:r w:rsidRPr="00CB347D">
        <w:rPr>
          <w:rFonts w:eastAsia="Times New Roman" w:cs="Arial"/>
          <w:color w:val="333333"/>
          <w:lang w:eastAsia="nl-NL"/>
        </w:rPr>
        <w:t>Stafleu</w:t>
      </w:r>
      <w:proofErr w:type="spellEnd"/>
      <w:r w:rsidRPr="00CB347D">
        <w:rPr>
          <w:rFonts w:eastAsia="Times New Roman" w:cs="Arial"/>
          <w:color w:val="333333"/>
          <w:lang w:eastAsia="nl-NL"/>
        </w:rPr>
        <w:t xml:space="preserve"> Van </w:t>
      </w:r>
      <w:proofErr w:type="spellStart"/>
      <w:r w:rsidRPr="00CB347D">
        <w:rPr>
          <w:rFonts w:eastAsia="Times New Roman" w:cs="Arial"/>
          <w:color w:val="333333"/>
          <w:lang w:eastAsia="nl-NL"/>
        </w:rPr>
        <w:t>Loghum</w:t>
      </w:r>
      <w:proofErr w:type="spellEnd"/>
      <w:r w:rsidRPr="00CB347D">
        <w:rPr>
          <w:rFonts w:eastAsia="Times New Roman" w:cs="Arial"/>
          <w:color w:val="333333"/>
          <w:lang w:eastAsia="nl-NL"/>
        </w:rPr>
        <w:t>.</w:t>
      </w:r>
    </w:p>
    <w:p w:rsidR="00CB347D" w:rsidRPr="00CB347D" w:rsidRDefault="00CB347D">
      <w:pPr>
        <w:rPr>
          <w:b/>
          <w:bCs/>
        </w:rPr>
      </w:pPr>
    </w:p>
    <w:p w:rsidR="00554B3D" w:rsidRPr="00CB347D" w:rsidRDefault="006C74CC">
      <w:pPr>
        <w:rPr>
          <w:b/>
          <w:bCs/>
        </w:rPr>
      </w:pPr>
      <w:hyperlink r:id="rId7" w:history="1">
        <w:r w:rsidR="00CB347D" w:rsidRPr="00CB347D">
          <w:rPr>
            <w:rStyle w:val="Hyperlink"/>
            <w:b/>
            <w:bCs/>
          </w:rPr>
          <w:t>http://www.rijnderspsydiensten.nl/index.html</w:t>
        </w:r>
      </w:hyperlink>
      <w:r w:rsidR="00CB347D" w:rsidRPr="00CB347D">
        <w:rPr>
          <w:b/>
          <w:bCs/>
        </w:rPr>
        <w:t xml:space="preserve"> </w:t>
      </w:r>
      <w:r w:rsidR="00554B3D" w:rsidRPr="00CB347D">
        <w:rPr>
          <w:b/>
          <w:bCs/>
        </w:rPr>
        <w:br w:type="page"/>
      </w:r>
    </w:p>
    <w:bookmarkEnd w:id="0"/>
    <w:p w:rsidR="00554B3D" w:rsidRPr="00CB347D" w:rsidRDefault="00554B3D" w:rsidP="00554B3D">
      <w:pPr>
        <w:rPr>
          <w:b/>
          <w:bCs/>
        </w:rPr>
      </w:pPr>
    </w:p>
    <w:p w:rsidR="008D2985" w:rsidRPr="00CB347D" w:rsidRDefault="008D2985" w:rsidP="008D2985">
      <w:pPr>
        <w:jc w:val="both"/>
        <w:rPr>
          <w:b/>
          <w:bCs/>
        </w:rPr>
      </w:pPr>
      <w:r w:rsidRPr="00CB347D">
        <w:rPr>
          <w:b/>
          <w:bCs/>
        </w:rPr>
        <w:t>Inhoud van dag 1</w:t>
      </w:r>
    </w:p>
    <w:p w:rsidR="008D2985" w:rsidRPr="00CB347D" w:rsidRDefault="008D2985" w:rsidP="008D2985">
      <w:pPr>
        <w:jc w:val="both"/>
        <w:rPr>
          <w:b/>
          <w:bCs/>
        </w:rPr>
      </w:pPr>
      <w:r w:rsidRPr="00CB347D">
        <w:rPr>
          <w:b/>
          <w:bCs/>
        </w:rPr>
        <w:t xml:space="preserve">Aanwezige docent: </w:t>
      </w:r>
    </w:p>
    <w:p w:rsidR="008D2985" w:rsidRPr="00CB347D" w:rsidRDefault="008D2985" w:rsidP="008D2985">
      <w:pPr>
        <w:jc w:val="both"/>
        <w:rPr>
          <w:bCs/>
        </w:rPr>
      </w:pPr>
      <w:r w:rsidRPr="00CB347D">
        <w:rPr>
          <w:lang w:val="fr-FR"/>
        </w:rPr>
        <w:t>Drs. P.B.M. Rijnders</w:t>
      </w:r>
    </w:p>
    <w:p w:rsidR="008D2985" w:rsidRPr="00CB347D" w:rsidRDefault="008D2985" w:rsidP="008D2985">
      <w:pPr>
        <w:jc w:val="both"/>
        <w:rPr>
          <w:bCs/>
        </w:rPr>
      </w:pPr>
    </w:p>
    <w:p w:rsidR="008D2985" w:rsidRPr="00CB347D" w:rsidRDefault="008D2985" w:rsidP="008D2985">
      <w:pPr>
        <w:jc w:val="both"/>
        <w:rPr>
          <w:bCs/>
        </w:rPr>
      </w:pPr>
      <w:r w:rsidRPr="00CB347D">
        <w:rPr>
          <w:b/>
          <w:bCs/>
        </w:rPr>
        <w:t>Onderwerp</w:t>
      </w:r>
      <w:r w:rsidRPr="00CB347D">
        <w:rPr>
          <w:bCs/>
        </w:rPr>
        <w:t xml:space="preserve"> : </w:t>
      </w:r>
    </w:p>
    <w:p w:rsidR="008D2985" w:rsidRPr="00CB347D" w:rsidRDefault="008D2985" w:rsidP="008D2985">
      <w:pPr>
        <w:jc w:val="both"/>
        <w:rPr>
          <w:bCs/>
        </w:rPr>
      </w:pPr>
      <w:r w:rsidRPr="00CB347D">
        <w:rPr>
          <w:bCs/>
        </w:rPr>
        <w:t>Introductie</w:t>
      </w:r>
    </w:p>
    <w:p w:rsidR="008D2985" w:rsidRPr="00CB347D" w:rsidRDefault="008D2985" w:rsidP="008D2985">
      <w:pPr>
        <w:jc w:val="both"/>
        <w:rPr>
          <w:bCs/>
        </w:rPr>
      </w:pPr>
      <w:r w:rsidRPr="00CB347D">
        <w:rPr>
          <w:bCs/>
        </w:rPr>
        <w:t>Inleiding in theorie en praktijk KOP-model</w:t>
      </w:r>
    </w:p>
    <w:p w:rsidR="00B80916" w:rsidRPr="00CB347D" w:rsidRDefault="00B80916" w:rsidP="00B80916">
      <w:pPr>
        <w:jc w:val="both"/>
        <w:rPr>
          <w:bCs/>
        </w:rPr>
      </w:pPr>
      <w:r w:rsidRPr="00CB347D">
        <w:rPr>
          <w:bCs/>
        </w:rPr>
        <w:t>Behandelplanning</w:t>
      </w:r>
    </w:p>
    <w:p w:rsidR="00B80916" w:rsidRPr="00CB347D" w:rsidRDefault="00B80916" w:rsidP="00B80916">
      <w:pPr>
        <w:jc w:val="both"/>
        <w:rPr>
          <w:bCs/>
        </w:rPr>
      </w:pPr>
      <w:r w:rsidRPr="00CB347D">
        <w:rPr>
          <w:bCs/>
        </w:rPr>
        <w:t>Toepassen methodieken</w:t>
      </w:r>
    </w:p>
    <w:p w:rsidR="00B80916" w:rsidRPr="00CB347D" w:rsidRDefault="00B80916" w:rsidP="00B80916">
      <w:pPr>
        <w:jc w:val="both"/>
        <w:rPr>
          <w:bCs/>
        </w:rPr>
      </w:pPr>
      <w:r w:rsidRPr="00CB347D">
        <w:rPr>
          <w:bCs/>
        </w:rPr>
        <w:t>Terugvalpreventie</w:t>
      </w:r>
    </w:p>
    <w:p w:rsidR="008D2985" w:rsidRPr="00CB347D" w:rsidRDefault="008D2985" w:rsidP="008D2985">
      <w:pPr>
        <w:jc w:val="both"/>
        <w:rPr>
          <w:bCs/>
        </w:rPr>
      </w:pPr>
    </w:p>
    <w:p w:rsidR="008D2985" w:rsidRPr="00CB347D" w:rsidRDefault="008D2985" w:rsidP="008D2985">
      <w:pPr>
        <w:tabs>
          <w:tab w:val="left" w:pos="567"/>
        </w:tabs>
        <w:rPr>
          <w:b/>
          <w:bCs/>
        </w:rPr>
      </w:pPr>
      <w:r w:rsidRPr="00CB347D">
        <w:rPr>
          <w:b/>
          <w:bCs/>
        </w:rPr>
        <w:t>Doelstellingen van deze dag:</w:t>
      </w:r>
    </w:p>
    <w:p w:rsidR="008D2985" w:rsidRPr="00CB347D" w:rsidRDefault="008D2985" w:rsidP="008D2985">
      <w:pPr>
        <w:tabs>
          <w:tab w:val="left" w:pos="567"/>
        </w:tabs>
        <w:rPr>
          <w:bCs/>
        </w:rPr>
      </w:pPr>
      <w:r w:rsidRPr="00CB347D">
        <w:rPr>
          <w:bCs/>
        </w:rPr>
        <w:t>Plaatsbepaling Kop-model</w:t>
      </w:r>
    </w:p>
    <w:p w:rsidR="008D2985" w:rsidRPr="00CB347D" w:rsidRDefault="008D2985" w:rsidP="008D2985">
      <w:pPr>
        <w:tabs>
          <w:tab w:val="left" w:pos="567"/>
        </w:tabs>
        <w:rPr>
          <w:bCs/>
        </w:rPr>
      </w:pPr>
      <w:r w:rsidRPr="00CB347D">
        <w:rPr>
          <w:bCs/>
        </w:rPr>
        <w:t>In staat om een casus concept te maken in het kader van Kop-model, incl. gebruik info uit vragenlijsten, differentiaal diagnostiek en opzetten behandelplan.</w:t>
      </w:r>
    </w:p>
    <w:p w:rsidR="00B80916" w:rsidRPr="00CB347D" w:rsidRDefault="00B80916" w:rsidP="00B80916">
      <w:pPr>
        <w:tabs>
          <w:tab w:val="left" w:pos="567"/>
        </w:tabs>
      </w:pPr>
      <w:r w:rsidRPr="00CB347D">
        <w:t>Deelnemers zijn in staat zelfstandig het KOP-model toe te passen.</w:t>
      </w:r>
    </w:p>
    <w:p w:rsidR="008D2985" w:rsidRPr="00CB347D" w:rsidRDefault="008D2985" w:rsidP="008D2985">
      <w:pPr>
        <w:tabs>
          <w:tab w:val="left" w:pos="567"/>
        </w:tabs>
      </w:pPr>
    </w:p>
    <w:p w:rsidR="008D2985" w:rsidRPr="00CB347D" w:rsidRDefault="008D2985" w:rsidP="008D2985">
      <w:pPr>
        <w:tabs>
          <w:tab w:val="left" w:pos="567"/>
        </w:tabs>
        <w:rPr>
          <w:bCs/>
        </w:rPr>
      </w:pPr>
      <w:r w:rsidRPr="00CB347D">
        <w:rPr>
          <w:b/>
          <w:bCs/>
        </w:rPr>
        <w:t>Voorbereiding van de deelnemers</w:t>
      </w:r>
      <w:r w:rsidRPr="00CB347D">
        <w:rPr>
          <w:bCs/>
        </w:rPr>
        <w:t xml:space="preserve"> </w:t>
      </w:r>
    </w:p>
    <w:p w:rsidR="008D2985" w:rsidRPr="00CB347D" w:rsidRDefault="008D2985" w:rsidP="008D2985">
      <w:pPr>
        <w:tabs>
          <w:tab w:val="left" w:pos="567"/>
        </w:tabs>
        <w:rPr>
          <w:bCs/>
        </w:rPr>
      </w:pPr>
      <w:r w:rsidRPr="00CB347D">
        <w:rPr>
          <w:bCs/>
        </w:rPr>
        <w:t>Literatuur:</w:t>
      </w:r>
    </w:p>
    <w:p w:rsidR="008D2985" w:rsidRPr="00CB347D" w:rsidRDefault="008D2985" w:rsidP="008D2985">
      <w:pPr>
        <w:tabs>
          <w:tab w:val="left" w:pos="567"/>
        </w:tabs>
      </w:pPr>
      <w:r w:rsidRPr="00CB347D">
        <w:t xml:space="preserve">Uit Rijnders &amp; </w:t>
      </w:r>
      <w:proofErr w:type="spellStart"/>
      <w:r w:rsidRPr="00CB347D">
        <w:t>Heene</w:t>
      </w:r>
      <w:proofErr w:type="spellEnd"/>
      <w:r w:rsidRPr="00CB347D">
        <w:t xml:space="preserve"> (2015) Handboek KOP-model :</w:t>
      </w:r>
    </w:p>
    <w:p w:rsidR="008D2985" w:rsidRPr="00CB347D" w:rsidRDefault="008D2985" w:rsidP="008D2985">
      <w:pPr>
        <w:tabs>
          <w:tab w:val="left" w:pos="567"/>
        </w:tabs>
      </w:pPr>
      <w:r w:rsidRPr="00CB347D">
        <w:t xml:space="preserve">Hoofdstuk 1. Het Kop-model; een manier van denken, kijken en werken 62 </w:t>
      </w:r>
      <w:proofErr w:type="spellStart"/>
      <w:r w:rsidRPr="00CB347D">
        <w:t>blz</w:t>
      </w:r>
      <w:proofErr w:type="spellEnd"/>
    </w:p>
    <w:p w:rsidR="008D2985" w:rsidRPr="00CB347D" w:rsidRDefault="008D2985" w:rsidP="008D2985">
      <w:pPr>
        <w:tabs>
          <w:tab w:val="left" w:pos="567"/>
        </w:tabs>
      </w:pPr>
      <w:r w:rsidRPr="00CB347D">
        <w:t xml:space="preserve">Hoofdstuk 2.Diagnostiek, indicatiestelling en meten 27 </w:t>
      </w:r>
      <w:proofErr w:type="spellStart"/>
      <w:r w:rsidRPr="00CB347D">
        <w:t>blz</w:t>
      </w:r>
      <w:proofErr w:type="spellEnd"/>
    </w:p>
    <w:p w:rsidR="008D2985" w:rsidRPr="00CB347D" w:rsidRDefault="008D2985" w:rsidP="008D2985">
      <w:pPr>
        <w:tabs>
          <w:tab w:val="left" w:pos="567"/>
        </w:tabs>
      </w:pPr>
      <w:r w:rsidRPr="00CB347D">
        <w:t xml:space="preserve">Facultatief: hoofdstuk 3. De generalist in de GGZ  20 </w:t>
      </w:r>
      <w:proofErr w:type="spellStart"/>
      <w:r w:rsidRPr="00CB347D">
        <w:t>blz</w:t>
      </w:r>
      <w:proofErr w:type="spellEnd"/>
    </w:p>
    <w:p w:rsidR="00B80916" w:rsidRPr="00CB347D" w:rsidRDefault="00B80916" w:rsidP="00B80916">
      <w:pPr>
        <w:tabs>
          <w:tab w:val="left" w:pos="567"/>
        </w:tabs>
        <w:rPr>
          <w:bCs/>
        </w:rPr>
      </w:pPr>
      <w:r w:rsidRPr="00CB347D">
        <w:rPr>
          <w:bCs/>
        </w:rPr>
        <w:t xml:space="preserve">Hoofdstuk 6. Handige schema’s  22 </w:t>
      </w:r>
      <w:proofErr w:type="spellStart"/>
      <w:r w:rsidRPr="00CB347D">
        <w:rPr>
          <w:bCs/>
        </w:rPr>
        <w:t>blz</w:t>
      </w:r>
      <w:proofErr w:type="spellEnd"/>
    </w:p>
    <w:p w:rsidR="00B80916" w:rsidRPr="00CB347D" w:rsidRDefault="00B80916" w:rsidP="00B80916">
      <w:pPr>
        <w:tabs>
          <w:tab w:val="left" w:pos="567"/>
        </w:tabs>
        <w:rPr>
          <w:bCs/>
        </w:rPr>
      </w:pPr>
      <w:r w:rsidRPr="00CB347D">
        <w:rPr>
          <w:bCs/>
        </w:rPr>
        <w:t xml:space="preserve">Hoofdstuk 10. Mensen met chronisch psychiatrische problematiek en de basis GGZ  55 </w:t>
      </w:r>
      <w:proofErr w:type="spellStart"/>
      <w:r w:rsidRPr="00CB347D">
        <w:rPr>
          <w:bCs/>
        </w:rPr>
        <w:t>blz</w:t>
      </w:r>
      <w:proofErr w:type="spellEnd"/>
    </w:p>
    <w:p w:rsidR="00B80916" w:rsidRPr="00CB347D" w:rsidRDefault="00B80916" w:rsidP="00B80916">
      <w:pPr>
        <w:tabs>
          <w:tab w:val="left" w:pos="567"/>
        </w:tabs>
        <w:rPr>
          <w:bCs/>
        </w:rPr>
      </w:pPr>
      <w:r w:rsidRPr="00CB347D">
        <w:rPr>
          <w:bCs/>
        </w:rPr>
        <w:t xml:space="preserve">Facultatief: hoofdstuk 4: Nieuwe vormen (E-health)  15 </w:t>
      </w:r>
      <w:proofErr w:type="spellStart"/>
      <w:r w:rsidRPr="00CB347D">
        <w:rPr>
          <w:bCs/>
        </w:rPr>
        <w:t>blz</w:t>
      </w:r>
      <w:proofErr w:type="spellEnd"/>
    </w:p>
    <w:p w:rsidR="00B80916" w:rsidRPr="00CB347D" w:rsidRDefault="00B80916" w:rsidP="008D2985">
      <w:pPr>
        <w:tabs>
          <w:tab w:val="left" w:pos="567"/>
        </w:tabs>
      </w:pPr>
    </w:p>
    <w:p w:rsidR="008D2985" w:rsidRPr="00CB347D" w:rsidRDefault="008D2985" w:rsidP="008D2985">
      <w:pPr>
        <w:tabs>
          <w:tab w:val="left" w:pos="567"/>
        </w:tabs>
      </w:pPr>
    </w:p>
    <w:p w:rsidR="008D2985" w:rsidRPr="00CB347D" w:rsidRDefault="008D2985" w:rsidP="008D2985">
      <w:pPr>
        <w:tabs>
          <w:tab w:val="left" w:pos="567"/>
        </w:tabs>
        <w:rPr>
          <w:b/>
          <w:bCs/>
        </w:rPr>
      </w:pPr>
      <w:r w:rsidRPr="00CB347D">
        <w:rPr>
          <w:b/>
          <w:bCs/>
        </w:rPr>
        <w:t xml:space="preserve">Wijze van toetsen: </w:t>
      </w:r>
    </w:p>
    <w:p w:rsidR="008D2985" w:rsidRPr="00CB347D" w:rsidRDefault="008D2985" w:rsidP="008D2985">
      <w:pPr>
        <w:tabs>
          <w:tab w:val="left" w:pos="567"/>
        </w:tabs>
        <w:rPr>
          <w:bCs/>
        </w:rPr>
      </w:pPr>
      <w:r w:rsidRPr="00CB347D">
        <w:rPr>
          <w:bCs/>
        </w:rPr>
        <w:t>Toets over literatuur</w:t>
      </w:r>
    </w:p>
    <w:p w:rsidR="008D2985" w:rsidRPr="00CB347D" w:rsidRDefault="008D2985" w:rsidP="008D2985">
      <w:pPr>
        <w:tabs>
          <w:tab w:val="left" w:pos="567"/>
        </w:tabs>
        <w:rPr>
          <w:bCs/>
        </w:rPr>
      </w:pPr>
      <w:r w:rsidRPr="00CB347D">
        <w:rPr>
          <w:bCs/>
        </w:rPr>
        <w:t>Deelname activiteiten; rollenspelen</w:t>
      </w:r>
    </w:p>
    <w:p w:rsidR="00B80916" w:rsidRPr="00CB347D" w:rsidRDefault="00B80916" w:rsidP="00B80916">
      <w:pPr>
        <w:tabs>
          <w:tab w:val="left" w:pos="567"/>
        </w:tabs>
        <w:rPr>
          <w:bCs/>
        </w:rPr>
      </w:pPr>
      <w:r w:rsidRPr="00CB347D">
        <w:rPr>
          <w:bCs/>
        </w:rPr>
        <w:t>Bespreken en beoordelen casus concepten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3006"/>
        <w:gridCol w:w="3031"/>
      </w:tblGrid>
      <w:tr w:rsidR="008D2985" w:rsidRPr="00CB347D" w:rsidTr="00F27510">
        <w:tc>
          <w:tcPr>
            <w:tcW w:w="9212" w:type="dxa"/>
            <w:gridSpan w:val="3"/>
          </w:tcPr>
          <w:p w:rsidR="008D2985" w:rsidRPr="00CB347D" w:rsidRDefault="008D2985" w:rsidP="00F27510">
            <w:pPr>
              <w:tabs>
                <w:tab w:val="left" w:pos="567"/>
                <w:tab w:val="left" w:pos="3150"/>
              </w:tabs>
            </w:pPr>
            <w:r w:rsidRPr="00CB347D">
              <w:t xml:space="preserve">programma                           Totale tijdsduur </w:t>
            </w:r>
          </w:p>
        </w:tc>
      </w:tr>
      <w:tr w:rsidR="008D2985" w:rsidRPr="00CB347D" w:rsidTr="00F27510">
        <w:tc>
          <w:tcPr>
            <w:tcW w:w="3070" w:type="dxa"/>
          </w:tcPr>
          <w:p w:rsidR="008D2985" w:rsidRPr="00CB347D" w:rsidRDefault="008D2985" w:rsidP="00F27510">
            <w:pPr>
              <w:tabs>
                <w:tab w:val="left" w:pos="567"/>
              </w:tabs>
            </w:pPr>
            <w:proofErr w:type="spellStart"/>
            <w:r w:rsidRPr="00CB347D">
              <w:t>Subonderwerpen</w:t>
            </w:r>
            <w:proofErr w:type="spellEnd"/>
          </w:p>
        </w:tc>
        <w:tc>
          <w:tcPr>
            <w:tcW w:w="3071" w:type="dxa"/>
          </w:tcPr>
          <w:p w:rsidR="008D2985" w:rsidRPr="00CB347D" w:rsidRDefault="008D2985" w:rsidP="00F27510">
            <w:pPr>
              <w:tabs>
                <w:tab w:val="left" w:pos="567"/>
              </w:tabs>
            </w:pPr>
            <w:r w:rsidRPr="00CB347D">
              <w:t>Tijdsduur per onderwerp</w:t>
            </w:r>
          </w:p>
        </w:tc>
        <w:tc>
          <w:tcPr>
            <w:tcW w:w="3071" w:type="dxa"/>
          </w:tcPr>
          <w:p w:rsidR="008D2985" w:rsidRPr="00CB347D" w:rsidRDefault="008D2985" w:rsidP="00F27510">
            <w:pPr>
              <w:tabs>
                <w:tab w:val="left" w:pos="567"/>
              </w:tabs>
            </w:pPr>
            <w:r w:rsidRPr="00CB347D">
              <w:t>Werkwijze per onderwerp</w:t>
            </w:r>
          </w:p>
        </w:tc>
      </w:tr>
      <w:tr w:rsidR="008D2985" w:rsidRPr="00CB347D" w:rsidTr="00F27510">
        <w:tc>
          <w:tcPr>
            <w:tcW w:w="3070" w:type="dxa"/>
          </w:tcPr>
          <w:p w:rsidR="008D2985" w:rsidRPr="00CB347D" w:rsidRDefault="008D2985" w:rsidP="00F27510">
            <w:pPr>
              <w:tabs>
                <w:tab w:val="left" w:pos="567"/>
              </w:tabs>
            </w:pPr>
            <w:r w:rsidRPr="00CB347D">
              <w:t>Toets over literatuur + nabespreking</w:t>
            </w:r>
          </w:p>
        </w:tc>
        <w:tc>
          <w:tcPr>
            <w:tcW w:w="3071" w:type="dxa"/>
          </w:tcPr>
          <w:p w:rsidR="008D2985" w:rsidRPr="00CB347D" w:rsidRDefault="00B80916" w:rsidP="00F27510">
            <w:pPr>
              <w:tabs>
                <w:tab w:val="left" w:pos="567"/>
              </w:tabs>
            </w:pPr>
            <w:r w:rsidRPr="00CB347D">
              <w:t>8</w:t>
            </w:r>
            <w:r w:rsidR="008D2985" w:rsidRPr="00CB347D">
              <w:t>.30-10.15</w:t>
            </w:r>
          </w:p>
        </w:tc>
        <w:tc>
          <w:tcPr>
            <w:tcW w:w="3071" w:type="dxa"/>
          </w:tcPr>
          <w:p w:rsidR="008D2985" w:rsidRPr="00CB347D" w:rsidRDefault="008D2985" w:rsidP="00F27510">
            <w:pPr>
              <w:tabs>
                <w:tab w:val="left" w:pos="567"/>
              </w:tabs>
            </w:pPr>
            <w:r w:rsidRPr="00CB347D">
              <w:t>Toets: individueel</w:t>
            </w:r>
          </w:p>
          <w:p w:rsidR="008D2985" w:rsidRPr="00CB347D" w:rsidRDefault="008D2985" w:rsidP="00F27510">
            <w:pPr>
              <w:tabs>
                <w:tab w:val="left" w:pos="567"/>
              </w:tabs>
            </w:pPr>
            <w:r w:rsidRPr="00CB347D">
              <w:t>Nabespreking: plenair</w:t>
            </w:r>
          </w:p>
        </w:tc>
      </w:tr>
      <w:tr w:rsidR="008D2985" w:rsidRPr="00CB347D" w:rsidTr="00F27510">
        <w:tc>
          <w:tcPr>
            <w:tcW w:w="3070" w:type="dxa"/>
          </w:tcPr>
          <w:p w:rsidR="008D2985" w:rsidRPr="00CB347D" w:rsidRDefault="008D2985" w:rsidP="00F27510">
            <w:pPr>
              <w:tabs>
                <w:tab w:val="left" w:pos="567"/>
              </w:tabs>
            </w:pPr>
            <w:r w:rsidRPr="00CB347D">
              <w:t>Theoretische inleiding</w:t>
            </w:r>
          </w:p>
        </w:tc>
        <w:tc>
          <w:tcPr>
            <w:tcW w:w="3071" w:type="dxa"/>
          </w:tcPr>
          <w:p w:rsidR="008D2985" w:rsidRPr="00CB347D" w:rsidRDefault="008D2985" w:rsidP="00F27510">
            <w:pPr>
              <w:tabs>
                <w:tab w:val="left" w:pos="567"/>
              </w:tabs>
            </w:pPr>
            <w:r w:rsidRPr="00CB347D">
              <w:t>10.15-11.30</w:t>
            </w:r>
          </w:p>
        </w:tc>
        <w:tc>
          <w:tcPr>
            <w:tcW w:w="3071" w:type="dxa"/>
          </w:tcPr>
          <w:p w:rsidR="008D2985" w:rsidRPr="00CB347D" w:rsidRDefault="008D2985" w:rsidP="00F27510">
            <w:pPr>
              <w:tabs>
                <w:tab w:val="left" w:pos="567"/>
              </w:tabs>
            </w:pPr>
            <w:r w:rsidRPr="00CB347D">
              <w:t>Plenair</w:t>
            </w:r>
          </w:p>
        </w:tc>
      </w:tr>
      <w:tr w:rsidR="008D2985" w:rsidRPr="00CB347D" w:rsidTr="00F27510">
        <w:tc>
          <w:tcPr>
            <w:tcW w:w="3070" w:type="dxa"/>
          </w:tcPr>
          <w:p w:rsidR="008D2985" w:rsidRPr="00CB347D" w:rsidRDefault="008D2985" w:rsidP="00F27510">
            <w:pPr>
              <w:tabs>
                <w:tab w:val="left" w:pos="567"/>
              </w:tabs>
            </w:pPr>
            <w:r w:rsidRPr="00CB347D">
              <w:t>Toepassen van besprokene in inleiding:: oefenen aan de hand van papieren casus + tussen bespreking , correcties en demonstratie door opleider</w:t>
            </w:r>
          </w:p>
        </w:tc>
        <w:tc>
          <w:tcPr>
            <w:tcW w:w="3071" w:type="dxa"/>
          </w:tcPr>
          <w:p w:rsidR="008D2985" w:rsidRPr="00CB347D" w:rsidRDefault="008D2985" w:rsidP="00F27510">
            <w:pPr>
              <w:tabs>
                <w:tab w:val="left" w:pos="567"/>
              </w:tabs>
            </w:pPr>
            <w:r w:rsidRPr="00CB347D">
              <w:t>11.30-12.30</w:t>
            </w:r>
          </w:p>
        </w:tc>
        <w:tc>
          <w:tcPr>
            <w:tcW w:w="3071" w:type="dxa"/>
          </w:tcPr>
          <w:p w:rsidR="008D2985" w:rsidRPr="00CB347D" w:rsidRDefault="008D2985" w:rsidP="00F27510">
            <w:pPr>
              <w:tabs>
                <w:tab w:val="left" w:pos="567"/>
              </w:tabs>
            </w:pPr>
            <w:r w:rsidRPr="00CB347D">
              <w:t>Afwisselend subgroepen en plenair</w:t>
            </w:r>
          </w:p>
        </w:tc>
      </w:tr>
      <w:tr w:rsidR="008D2985" w:rsidRPr="00CB347D" w:rsidTr="00F27510">
        <w:tc>
          <w:tcPr>
            <w:tcW w:w="3070" w:type="dxa"/>
          </w:tcPr>
          <w:p w:rsidR="008D2985" w:rsidRPr="00CB347D" w:rsidRDefault="008D2985" w:rsidP="00F27510">
            <w:pPr>
              <w:tabs>
                <w:tab w:val="left" w:pos="567"/>
              </w:tabs>
            </w:pPr>
            <w:r w:rsidRPr="00CB347D">
              <w:t>lunch</w:t>
            </w:r>
          </w:p>
        </w:tc>
        <w:tc>
          <w:tcPr>
            <w:tcW w:w="3071" w:type="dxa"/>
          </w:tcPr>
          <w:p w:rsidR="008D2985" w:rsidRPr="00CB347D" w:rsidRDefault="008D2985" w:rsidP="00F27510">
            <w:pPr>
              <w:tabs>
                <w:tab w:val="left" w:pos="567"/>
              </w:tabs>
            </w:pPr>
            <w:r w:rsidRPr="00CB347D">
              <w:t>12.30-13.30</w:t>
            </w:r>
          </w:p>
        </w:tc>
        <w:tc>
          <w:tcPr>
            <w:tcW w:w="3071" w:type="dxa"/>
          </w:tcPr>
          <w:p w:rsidR="008D2985" w:rsidRPr="00CB347D" w:rsidRDefault="008D2985" w:rsidP="00F27510">
            <w:pPr>
              <w:tabs>
                <w:tab w:val="left" w:pos="567"/>
              </w:tabs>
            </w:pPr>
          </w:p>
        </w:tc>
      </w:tr>
      <w:tr w:rsidR="008D2985" w:rsidRPr="00CB347D" w:rsidTr="00F27510">
        <w:tc>
          <w:tcPr>
            <w:tcW w:w="3070" w:type="dxa"/>
          </w:tcPr>
          <w:p w:rsidR="008D2985" w:rsidRPr="00CB347D" w:rsidRDefault="008D2985" w:rsidP="00F27510">
            <w:pPr>
              <w:tabs>
                <w:tab w:val="left" w:pos="567"/>
              </w:tabs>
            </w:pPr>
            <w:r w:rsidRPr="00CB347D">
              <w:t>Toepassen van besprokene in inleiding:: oefenen aan de hand van papieren casus + tussen bespreking , correcties en demonstratie door opleider</w:t>
            </w:r>
          </w:p>
        </w:tc>
        <w:tc>
          <w:tcPr>
            <w:tcW w:w="3071" w:type="dxa"/>
          </w:tcPr>
          <w:p w:rsidR="008D2985" w:rsidRPr="00CB347D" w:rsidRDefault="008D2985" w:rsidP="00F27510">
            <w:pPr>
              <w:tabs>
                <w:tab w:val="left" w:pos="567"/>
              </w:tabs>
            </w:pPr>
            <w:r w:rsidRPr="00CB347D">
              <w:t>13.30-14.30</w:t>
            </w:r>
          </w:p>
        </w:tc>
        <w:tc>
          <w:tcPr>
            <w:tcW w:w="3071" w:type="dxa"/>
          </w:tcPr>
          <w:p w:rsidR="008D2985" w:rsidRPr="00CB347D" w:rsidRDefault="008D2985" w:rsidP="00F27510">
            <w:pPr>
              <w:tabs>
                <w:tab w:val="left" w:pos="567"/>
              </w:tabs>
            </w:pPr>
            <w:r w:rsidRPr="00CB347D">
              <w:t>Afwisselend subgroepen en plenair</w:t>
            </w:r>
          </w:p>
        </w:tc>
      </w:tr>
      <w:tr w:rsidR="008D2985" w:rsidRPr="00CB347D" w:rsidTr="00F27510">
        <w:trPr>
          <w:trHeight w:val="107"/>
        </w:trPr>
        <w:tc>
          <w:tcPr>
            <w:tcW w:w="3070" w:type="dxa"/>
          </w:tcPr>
          <w:p w:rsidR="008D2985" w:rsidRPr="00CB347D" w:rsidRDefault="008D2985" w:rsidP="00F27510">
            <w:pPr>
              <w:tabs>
                <w:tab w:val="left" w:pos="567"/>
              </w:tabs>
            </w:pPr>
            <w:r w:rsidRPr="00CB347D">
              <w:t>Theoretische inleiding diagnostiek aan de hand van KOP model</w:t>
            </w:r>
          </w:p>
        </w:tc>
        <w:tc>
          <w:tcPr>
            <w:tcW w:w="3071" w:type="dxa"/>
          </w:tcPr>
          <w:p w:rsidR="008D2985" w:rsidRPr="00CB347D" w:rsidRDefault="008D2985" w:rsidP="00F27510">
            <w:pPr>
              <w:tabs>
                <w:tab w:val="left" w:pos="567"/>
              </w:tabs>
            </w:pPr>
            <w:r w:rsidRPr="00CB347D">
              <w:t>14.30-15.15</w:t>
            </w:r>
          </w:p>
        </w:tc>
        <w:tc>
          <w:tcPr>
            <w:tcW w:w="3071" w:type="dxa"/>
          </w:tcPr>
          <w:p w:rsidR="008D2985" w:rsidRPr="00CB347D" w:rsidRDefault="008D2985" w:rsidP="00F27510">
            <w:pPr>
              <w:tabs>
                <w:tab w:val="left" w:pos="567"/>
              </w:tabs>
            </w:pPr>
            <w:r w:rsidRPr="00CB347D">
              <w:t>Plenair</w:t>
            </w:r>
          </w:p>
          <w:p w:rsidR="008D2985" w:rsidRPr="00CB347D" w:rsidRDefault="008D2985" w:rsidP="00F27510">
            <w:pPr>
              <w:tabs>
                <w:tab w:val="left" w:pos="567"/>
              </w:tabs>
            </w:pPr>
            <w:r w:rsidRPr="00CB347D">
              <w:t>videodemonstratie</w:t>
            </w:r>
          </w:p>
        </w:tc>
      </w:tr>
      <w:tr w:rsidR="008D2985" w:rsidRPr="00CB347D" w:rsidTr="00F27510">
        <w:tc>
          <w:tcPr>
            <w:tcW w:w="3070" w:type="dxa"/>
          </w:tcPr>
          <w:p w:rsidR="008D2985" w:rsidRPr="00CB347D" w:rsidRDefault="008D2985" w:rsidP="00F27510">
            <w:pPr>
              <w:tabs>
                <w:tab w:val="left" w:pos="567"/>
              </w:tabs>
            </w:pPr>
            <w:r w:rsidRPr="00CB347D">
              <w:t>Oefenen diagnostiek aan de hand van papieren casus + correcties + demonstratie opleider</w:t>
            </w:r>
          </w:p>
        </w:tc>
        <w:tc>
          <w:tcPr>
            <w:tcW w:w="3071" w:type="dxa"/>
          </w:tcPr>
          <w:p w:rsidR="008D2985" w:rsidRPr="00CB347D" w:rsidRDefault="008D2985" w:rsidP="00F27510">
            <w:pPr>
              <w:tabs>
                <w:tab w:val="left" w:pos="567"/>
              </w:tabs>
            </w:pPr>
            <w:r w:rsidRPr="00CB347D">
              <w:t>15.15-16.15</w:t>
            </w:r>
          </w:p>
        </w:tc>
        <w:tc>
          <w:tcPr>
            <w:tcW w:w="3071" w:type="dxa"/>
          </w:tcPr>
          <w:p w:rsidR="008D2985" w:rsidRPr="00CB347D" w:rsidRDefault="008D2985" w:rsidP="00F27510">
            <w:pPr>
              <w:tabs>
                <w:tab w:val="left" w:pos="567"/>
              </w:tabs>
            </w:pPr>
            <w:r w:rsidRPr="00CB347D">
              <w:t>Subgroepen + plenair</w:t>
            </w:r>
          </w:p>
        </w:tc>
      </w:tr>
      <w:tr w:rsidR="008D2985" w:rsidRPr="00CB347D" w:rsidTr="00F27510">
        <w:tc>
          <w:tcPr>
            <w:tcW w:w="3070" w:type="dxa"/>
          </w:tcPr>
          <w:p w:rsidR="008D2985" w:rsidRPr="00CB347D" w:rsidRDefault="008D2985" w:rsidP="00F27510">
            <w:pPr>
              <w:tabs>
                <w:tab w:val="left" w:pos="567"/>
              </w:tabs>
            </w:pPr>
            <w:r w:rsidRPr="00CB347D">
              <w:t>Afsluiting + opgave huiswerk</w:t>
            </w:r>
          </w:p>
        </w:tc>
        <w:tc>
          <w:tcPr>
            <w:tcW w:w="3071" w:type="dxa"/>
          </w:tcPr>
          <w:p w:rsidR="008D2985" w:rsidRPr="00CB347D" w:rsidRDefault="00B80916" w:rsidP="00F27510">
            <w:pPr>
              <w:tabs>
                <w:tab w:val="left" w:pos="567"/>
              </w:tabs>
            </w:pPr>
            <w:r w:rsidRPr="00CB347D">
              <w:t>16.15-16.45</w:t>
            </w:r>
          </w:p>
        </w:tc>
        <w:tc>
          <w:tcPr>
            <w:tcW w:w="3071" w:type="dxa"/>
          </w:tcPr>
          <w:p w:rsidR="008D2985" w:rsidRPr="00CB347D" w:rsidRDefault="008D2985" w:rsidP="00F27510">
            <w:pPr>
              <w:tabs>
                <w:tab w:val="left" w:pos="567"/>
              </w:tabs>
            </w:pPr>
            <w:r w:rsidRPr="00CB347D">
              <w:t>Plenair</w:t>
            </w:r>
          </w:p>
        </w:tc>
      </w:tr>
    </w:tbl>
    <w:p w:rsidR="008D2985" w:rsidRPr="00CB347D" w:rsidRDefault="008D2985" w:rsidP="008D2985">
      <w:pPr>
        <w:tabs>
          <w:tab w:val="left" w:pos="567"/>
        </w:tabs>
        <w:rPr>
          <w:bCs/>
        </w:rPr>
      </w:pPr>
    </w:p>
    <w:p w:rsidR="008D2985" w:rsidRPr="00CB347D" w:rsidRDefault="008D2985" w:rsidP="008D2985">
      <w:pPr>
        <w:jc w:val="both"/>
        <w:rPr>
          <w:bCs/>
        </w:rPr>
      </w:pPr>
    </w:p>
    <w:p w:rsidR="00554B3D" w:rsidRPr="006C74CC" w:rsidRDefault="00554B3D" w:rsidP="006C74CC">
      <w:pPr>
        <w:tabs>
          <w:tab w:val="left" w:pos="567"/>
        </w:tabs>
        <w:rPr>
          <w:color w:val="514F4F"/>
        </w:rPr>
      </w:pPr>
    </w:p>
    <w:sectPr w:rsidR="00554B3D" w:rsidRPr="006C74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59" w:rsidRDefault="008E6459" w:rsidP="00554B3D">
      <w:pPr>
        <w:spacing w:after="0" w:line="240" w:lineRule="auto"/>
      </w:pPr>
      <w:r>
        <w:separator/>
      </w:r>
    </w:p>
  </w:endnote>
  <w:endnote w:type="continuationSeparator" w:id="0">
    <w:p w:rsidR="008E6459" w:rsidRDefault="008E6459" w:rsidP="0055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59" w:rsidRDefault="008E6459" w:rsidP="00554B3D">
      <w:pPr>
        <w:spacing w:after="0" w:line="240" w:lineRule="auto"/>
      </w:pPr>
      <w:r>
        <w:separator/>
      </w:r>
    </w:p>
  </w:footnote>
  <w:footnote w:type="continuationSeparator" w:id="0">
    <w:p w:rsidR="008E6459" w:rsidRDefault="008E6459" w:rsidP="0055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07884"/>
    <w:multiLevelType w:val="hybridMultilevel"/>
    <w:tmpl w:val="594C1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53"/>
    <w:rsid w:val="00376AFB"/>
    <w:rsid w:val="003B6F53"/>
    <w:rsid w:val="00554B3D"/>
    <w:rsid w:val="006C74CC"/>
    <w:rsid w:val="00721BB2"/>
    <w:rsid w:val="008D2985"/>
    <w:rsid w:val="008E6459"/>
    <w:rsid w:val="00B80916"/>
    <w:rsid w:val="00CB3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593B-94F6-4414-A402-975DD43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B347D"/>
    <w:rPr>
      <w:rFonts w:ascii="Lato Bold" w:hAnsi="Lato Bold" w:hint="default"/>
      <w:b/>
      <w:bCs/>
    </w:rPr>
  </w:style>
  <w:style w:type="paragraph" w:styleId="Normaalweb">
    <w:name w:val="Normal (Web)"/>
    <w:basedOn w:val="Standaard"/>
    <w:uiPriority w:val="99"/>
    <w:semiHidden/>
    <w:unhideWhenUsed/>
    <w:rsid w:val="00CB347D"/>
    <w:pPr>
      <w:spacing w:after="165"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3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1720">
      <w:bodyDiv w:val="1"/>
      <w:marLeft w:val="0"/>
      <w:marRight w:val="0"/>
      <w:marTop w:val="0"/>
      <w:marBottom w:val="0"/>
      <w:divBdr>
        <w:top w:val="none" w:sz="0" w:space="0" w:color="auto"/>
        <w:left w:val="none" w:sz="0" w:space="0" w:color="auto"/>
        <w:bottom w:val="none" w:sz="0" w:space="0" w:color="auto"/>
        <w:right w:val="none" w:sz="0" w:space="0" w:color="auto"/>
      </w:divBdr>
      <w:divsChild>
        <w:div w:id="1983609159">
          <w:marLeft w:val="0"/>
          <w:marRight w:val="0"/>
          <w:marTop w:val="0"/>
          <w:marBottom w:val="0"/>
          <w:divBdr>
            <w:top w:val="none" w:sz="0" w:space="0" w:color="auto"/>
            <w:left w:val="none" w:sz="0" w:space="0" w:color="auto"/>
            <w:bottom w:val="none" w:sz="0" w:space="0" w:color="auto"/>
            <w:right w:val="none" w:sz="0" w:space="0" w:color="auto"/>
          </w:divBdr>
          <w:divsChild>
            <w:div w:id="1573809973">
              <w:marLeft w:val="0"/>
              <w:marRight w:val="0"/>
              <w:marTop w:val="0"/>
              <w:marBottom w:val="0"/>
              <w:divBdr>
                <w:top w:val="none" w:sz="0" w:space="0" w:color="auto"/>
                <w:left w:val="none" w:sz="0" w:space="0" w:color="auto"/>
                <w:bottom w:val="none" w:sz="0" w:space="0" w:color="auto"/>
                <w:right w:val="none" w:sz="0" w:space="0" w:color="auto"/>
              </w:divBdr>
              <w:divsChild>
                <w:div w:id="1654262584">
                  <w:marLeft w:val="0"/>
                  <w:marRight w:val="0"/>
                  <w:marTop w:val="0"/>
                  <w:marBottom w:val="0"/>
                  <w:divBdr>
                    <w:top w:val="none" w:sz="0" w:space="0" w:color="auto"/>
                    <w:left w:val="none" w:sz="0" w:space="0" w:color="auto"/>
                    <w:bottom w:val="none" w:sz="0" w:space="0" w:color="auto"/>
                    <w:right w:val="none" w:sz="0" w:space="0" w:color="auto"/>
                  </w:divBdr>
                  <w:divsChild>
                    <w:div w:id="1328048041">
                      <w:marLeft w:val="0"/>
                      <w:marRight w:val="0"/>
                      <w:marTop w:val="0"/>
                      <w:marBottom w:val="0"/>
                      <w:divBdr>
                        <w:top w:val="none" w:sz="0" w:space="0" w:color="auto"/>
                        <w:left w:val="none" w:sz="0" w:space="0" w:color="auto"/>
                        <w:bottom w:val="none" w:sz="0" w:space="0" w:color="auto"/>
                        <w:right w:val="none" w:sz="0" w:space="0" w:color="auto"/>
                      </w:divBdr>
                      <w:divsChild>
                        <w:div w:id="1826242723">
                          <w:marLeft w:val="0"/>
                          <w:marRight w:val="0"/>
                          <w:marTop w:val="0"/>
                          <w:marBottom w:val="0"/>
                          <w:divBdr>
                            <w:top w:val="none" w:sz="0" w:space="0" w:color="auto"/>
                            <w:left w:val="none" w:sz="0" w:space="0" w:color="auto"/>
                            <w:bottom w:val="none" w:sz="0" w:space="0" w:color="auto"/>
                            <w:right w:val="none" w:sz="0" w:space="0" w:color="auto"/>
                          </w:divBdr>
                          <w:divsChild>
                            <w:div w:id="331446870">
                              <w:marLeft w:val="0"/>
                              <w:marRight w:val="0"/>
                              <w:marTop w:val="0"/>
                              <w:marBottom w:val="0"/>
                              <w:divBdr>
                                <w:top w:val="none" w:sz="0" w:space="0" w:color="auto"/>
                                <w:left w:val="none" w:sz="0" w:space="0" w:color="auto"/>
                                <w:bottom w:val="none" w:sz="0" w:space="0" w:color="auto"/>
                                <w:right w:val="none" w:sz="0" w:space="0" w:color="auto"/>
                              </w:divBdr>
                              <w:divsChild>
                                <w:div w:id="1145008887">
                                  <w:marLeft w:val="0"/>
                                  <w:marRight w:val="0"/>
                                  <w:marTop w:val="0"/>
                                  <w:marBottom w:val="0"/>
                                  <w:divBdr>
                                    <w:top w:val="none" w:sz="0" w:space="0" w:color="auto"/>
                                    <w:left w:val="none" w:sz="0" w:space="0" w:color="auto"/>
                                    <w:bottom w:val="none" w:sz="0" w:space="0" w:color="auto"/>
                                    <w:right w:val="none" w:sz="0" w:space="0" w:color="auto"/>
                                  </w:divBdr>
                                  <w:divsChild>
                                    <w:div w:id="1231228981">
                                      <w:marLeft w:val="0"/>
                                      <w:marRight w:val="0"/>
                                      <w:marTop w:val="75"/>
                                      <w:marBottom w:val="75"/>
                                      <w:divBdr>
                                        <w:top w:val="none" w:sz="0" w:space="0" w:color="auto"/>
                                        <w:left w:val="none" w:sz="0" w:space="0" w:color="auto"/>
                                        <w:bottom w:val="none" w:sz="0" w:space="0" w:color="auto"/>
                                        <w:right w:val="none" w:sz="0" w:space="0" w:color="auto"/>
                                      </w:divBdr>
                                    </w:div>
                                    <w:div w:id="95181426">
                                      <w:marLeft w:val="0"/>
                                      <w:marRight w:val="0"/>
                                      <w:marTop w:val="75"/>
                                      <w:marBottom w:val="75"/>
                                      <w:divBdr>
                                        <w:top w:val="none" w:sz="0" w:space="0" w:color="auto"/>
                                        <w:left w:val="none" w:sz="0" w:space="0" w:color="auto"/>
                                        <w:bottom w:val="none" w:sz="0" w:space="0" w:color="auto"/>
                                        <w:right w:val="none" w:sz="0" w:space="0" w:color="auto"/>
                                      </w:divBdr>
                                    </w:div>
                                    <w:div w:id="2086103951">
                                      <w:marLeft w:val="0"/>
                                      <w:marRight w:val="0"/>
                                      <w:marTop w:val="75"/>
                                      <w:marBottom w:val="75"/>
                                      <w:divBdr>
                                        <w:top w:val="none" w:sz="0" w:space="0" w:color="auto"/>
                                        <w:left w:val="none" w:sz="0" w:space="0" w:color="auto"/>
                                        <w:bottom w:val="none" w:sz="0" w:space="0" w:color="auto"/>
                                        <w:right w:val="none" w:sz="0" w:space="0" w:color="auto"/>
                                      </w:divBdr>
                                    </w:div>
                                    <w:div w:id="747727230">
                                      <w:marLeft w:val="0"/>
                                      <w:marRight w:val="0"/>
                                      <w:marTop w:val="75"/>
                                      <w:marBottom w:val="75"/>
                                      <w:divBdr>
                                        <w:top w:val="none" w:sz="0" w:space="0" w:color="auto"/>
                                        <w:left w:val="none" w:sz="0" w:space="0" w:color="auto"/>
                                        <w:bottom w:val="none" w:sz="0" w:space="0" w:color="auto"/>
                                        <w:right w:val="none" w:sz="0" w:space="0" w:color="auto"/>
                                      </w:divBdr>
                                    </w:div>
                                    <w:div w:id="601569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jnderspsydiensten.nl/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5031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Paul1</dc:creator>
  <cp:lastModifiedBy>Sabrina Stap</cp:lastModifiedBy>
  <cp:revision>2</cp:revision>
  <cp:lastPrinted>2017-11-02T10:46:00Z</cp:lastPrinted>
  <dcterms:created xsi:type="dcterms:W3CDTF">2017-11-23T10:18:00Z</dcterms:created>
  <dcterms:modified xsi:type="dcterms:W3CDTF">2017-11-23T10:18:00Z</dcterms:modified>
</cp:coreProperties>
</file>